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74890309"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t>ПРО</w:t>
      </w:r>
      <w:r w:rsidR="00645661">
        <w:rPr>
          <w:sz w:val="24"/>
          <w:szCs w:val="24"/>
          <w:lang w:val="uk-UA"/>
        </w:rPr>
        <w:t>Є</w:t>
      </w:r>
      <w:r w:rsidR="001F1AF8">
        <w:rPr>
          <w:sz w:val="24"/>
          <w:szCs w:val="24"/>
          <w:lang w:val="uk-UA"/>
        </w:rPr>
        <w:t>КТ</w:t>
      </w:r>
      <w:r w:rsidR="005C4465" w:rsidRPr="005C4465">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84881" w:rsidRDefault="0068488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E3481F" w:rsidRDefault="00E3481F"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E3481F" w:rsidRPr="00BE52B9" w:rsidRDefault="00E3481F"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P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p>
    <w:p w:rsidR="0071289D" w:rsidRDefault="0071289D" w:rsidP="0071289D">
      <w:pPr>
        <w:rPr>
          <w:sz w:val="24"/>
          <w:szCs w:val="24"/>
          <w:lang w:val="uk-UA"/>
        </w:rPr>
      </w:pPr>
      <w:r w:rsidRPr="0071289D">
        <w:rPr>
          <w:sz w:val="24"/>
          <w:szCs w:val="24"/>
          <w:lang w:val="uk-UA"/>
        </w:rPr>
        <w:t xml:space="preserve">Затвердити розподіл </w:t>
      </w:r>
      <w:r w:rsidR="005E34AA">
        <w:rPr>
          <w:sz w:val="24"/>
          <w:szCs w:val="24"/>
          <w:lang w:val="uk-UA"/>
        </w:rPr>
        <w:t xml:space="preserve">коштів додаткового фінансового ресурсу у вигляді вільного залишку бюджету </w:t>
      </w:r>
      <w:r w:rsidR="005E34AA" w:rsidRPr="005E34AA">
        <w:rPr>
          <w:sz w:val="24"/>
          <w:szCs w:val="24"/>
          <w:lang w:val="uk-UA"/>
        </w:rPr>
        <w:t xml:space="preserve">Южноукраїнської міської територіальної громади </w:t>
      </w:r>
      <w:r w:rsidR="005E34AA">
        <w:rPr>
          <w:sz w:val="24"/>
          <w:szCs w:val="24"/>
          <w:lang w:val="uk-UA"/>
        </w:rPr>
        <w:t xml:space="preserve">в сумі 77 315 884 гривень </w:t>
      </w:r>
      <w:r w:rsidRPr="0071289D">
        <w:rPr>
          <w:sz w:val="24"/>
          <w:szCs w:val="24"/>
          <w:lang w:val="uk-UA"/>
        </w:rPr>
        <w:t>за головними розпорядниками бюджетних коштів на 20</w:t>
      </w:r>
      <w:r>
        <w:rPr>
          <w:sz w:val="24"/>
          <w:szCs w:val="24"/>
          <w:lang w:val="uk-UA"/>
        </w:rPr>
        <w:t>21</w:t>
      </w:r>
      <w:r w:rsidR="005E34AA">
        <w:rPr>
          <w:sz w:val="24"/>
          <w:szCs w:val="24"/>
          <w:lang w:val="uk-UA"/>
        </w:rPr>
        <w:t xml:space="preserve"> рік.</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Pr="0059626E">
        <w:rPr>
          <w:sz w:val="24"/>
          <w:szCs w:val="24"/>
          <w:lang w:val="uk-UA"/>
        </w:rPr>
        <w:t>646 572 431 гривень, у тому числі доходи загального фонду бюджету - у сумі                  635 945 905 гривень та доходи спеціального фонду бюджету – у сумі 10 626 526 гривень 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Pr="0059626E">
        <w:rPr>
          <w:sz w:val="24"/>
          <w:szCs w:val="24"/>
          <w:lang w:val="uk-UA"/>
        </w:rPr>
        <w:t>646 572 431 гривень, у тому числі видатки загального фонду бюджету – у сумі           634 469 395 гривень та видатки спеціального фонду бюджету – у сумі 12 103 036 гривень, в тому числі обсяг бюджету розвитку – у сумі 1 476 510 гривень;</w:t>
      </w:r>
    </w:p>
    <w:p w:rsidR="001F1AF8" w:rsidRPr="001F1AF8" w:rsidRDefault="001F1AF8" w:rsidP="0059626E">
      <w:pPr>
        <w:rPr>
          <w:i/>
          <w:sz w:val="24"/>
          <w:szCs w:val="24"/>
          <w:lang w:val="uk-UA"/>
        </w:rPr>
      </w:pPr>
      <w:r w:rsidRPr="001F1AF8">
        <w:rPr>
          <w:i/>
          <w:sz w:val="24"/>
          <w:szCs w:val="24"/>
          <w:lang w:val="uk-UA"/>
        </w:rPr>
        <w:lastRenderedPageBreak/>
        <w:t>* Уточнений обсяг видатків загального та спеціального фонду</w:t>
      </w:r>
      <w:r w:rsidR="005E34AA">
        <w:rPr>
          <w:i/>
          <w:sz w:val="24"/>
          <w:szCs w:val="24"/>
          <w:lang w:val="uk-UA"/>
        </w:rPr>
        <w:t xml:space="preserve"> бюджету</w:t>
      </w:r>
      <w:r w:rsidRPr="001F1AF8">
        <w:rPr>
          <w:i/>
          <w:sz w:val="24"/>
          <w:szCs w:val="24"/>
          <w:lang w:val="uk-UA"/>
        </w:rPr>
        <w:t xml:space="preserve"> буде визначений після розгляду на засіданні постійної комісії міської ради </w:t>
      </w:r>
      <w:r w:rsidR="005E34AA" w:rsidRPr="005E34AA">
        <w:rPr>
          <w:i/>
          <w:sz w:val="24"/>
          <w:szCs w:val="24"/>
          <w:lang w:val="uk-UA"/>
        </w:rPr>
        <w:t>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005E34AA">
        <w:rPr>
          <w:i/>
          <w:sz w:val="24"/>
          <w:szCs w:val="24"/>
          <w:lang w:val="uk-UA"/>
        </w:rPr>
        <w:t>.</w:t>
      </w:r>
    </w:p>
    <w:p w:rsidR="004032AF" w:rsidRPr="004032AF" w:rsidRDefault="004032AF" w:rsidP="005E34AA">
      <w:pPr>
        <w:tabs>
          <w:tab w:val="left" w:pos="567"/>
        </w:tabs>
        <w:rPr>
          <w:bCs/>
          <w:sz w:val="24"/>
          <w:szCs w:val="24"/>
          <w:lang w:val="uk-UA"/>
        </w:rPr>
      </w:pPr>
      <w:r w:rsidRPr="004032AF">
        <w:rPr>
          <w:bCs/>
          <w:sz w:val="24"/>
          <w:szCs w:val="24"/>
          <w:lang w:val="uk-UA"/>
        </w:rPr>
        <w:t xml:space="preserve">загальний фонд бюджету </w:t>
      </w:r>
      <w:r w:rsidR="005E34AA">
        <w:rPr>
          <w:bCs/>
          <w:sz w:val="24"/>
          <w:szCs w:val="24"/>
          <w:lang w:val="uk-UA"/>
        </w:rPr>
        <w:t xml:space="preserve">громади </w:t>
      </w:r>
      <w:r w:rsidRPr="004032AF">
        <w:rPr>
          <w:bCs/>
          <w:sz w:val="24"/>
          <w:szCs w:val="24"/>
          <w:lang w:val="uk-UA"/>
        </w:rPr>
        <w:t xml:space="preserve">з профіцитом у сумі </w:t>
      </w:r>
      <w:r w:rsidR="0059626E" w:rsidRPr="0059626E">
        <w:rPr>
          <w:bCs/>
          <w:sz w:val="24"/>
          <w:szCs w:val="24"/>
          <w:lang w:val="uk-UA"/>
        </w:rPr>
        <w:t xml:space="preserve">1 476 510 </w:t>
      </w:r>
      <w:r w:rsidRPr="004032AF">
        <w:rPr>
          <w:bCs/>
          <w:sz w:val="24"/>
          <w:szCs w:val="24"/>
          <w:lang w:val="uk-UA"/>
        </w:rPr>
        <w:t>гривень</w:t>
      </w:r>
      <w:r w:rsidR="005E34AA">
        <w:rPr>
          <w:bCs/>
          <w:sz w:val="24"/>
          <w:szCs w:val="24"/>
          <w:lang w:val="uk-UA"/>
        </w:rPr>
        <w:t>;</w:t>
      </w:r>
      <w:r>
        <w:rPr>
          <w:bCs/>
          <w:sz w:val="24"/>
          <w:szCs w:val="24"/>
          <w:lang w:val="uk-UA"/>
        </w:rPr>
        <w:t xml:space="preserve"> </w:t>
      </w:r>
    </w:p>
    <w:p w:rsidR="00B9129A" w:rsidRDefault="004032AF" w:rsidP="005E34AA">
      <w:pPr>
        <w:tabs>
          <w:tab w:val="left" w:pos="567"/>
        </w:tabs>
        <w:rPr>
          <w:bCs/>
          <w:sz w:val="24"/>
          <w:szCs w:val="24"/>
          <w:lang w:val="uk-UA"/>
        </w:rPr>
      </w:pPr>
      <w:r w:rsidRPr="00A91309">
        <w:rPr>
          <w:bCs/>
          <w:sz w:val="24"/>
          <w:szCs w:val="24"/>
          <w:lang w:val="uk-UA"/>
        </w:rPr>
        <w:t>дефіцит за спеціальним фондом бюджету</w:t>
      </w:r>
      <w:r w:rsidR="005E34AA">
        <w:rPr>
          <w:bCs/>
          <w:sz w:val="24"/>
          <w:szCs w:val="24"/>
          <w:lang w:val="uk-UA"/>
        </w:rPr>
        <w:t xml:space="preserve"> громади</w:t>
      </w:r>
      <w:r w:rsidRPr="00A91309">
        <w:rPr>
          <w:bCs/>
          <w:sz w:val="24"/>
          <w:szCs w:val="24"/>
          <w:lang w:val="uk-UA"/>
        </w:rPr>
        <w:t xml:space="preserve"> у сумі </w:t>
      </w:r>
      <w:r w:rsidR="005E34AA" w:rsidRPr="005E34AA">
        <w:rPr>
          <w:bCs/>
          <w:sz w:val="24"/>
          <w:szCs w:val="24"/>
          <w:lang w:val="uk-UA"/>
        </w:rPr>
        <w:t xml:space="preserve">1 476 510 </w:t>
      </w:r>
      <w:r w:rsidRPr="00A91309">
        <w:rPr>
          <w:bCs/>
          <w:sz w:val="24"/>
          <w:szCs w:val="24"/>
          <w:lang w:val="uk-UA"/>
        </w:rPr>
        <w:t>гривень</w:t>
      </w:r>
      <w:r w:rsidR="005E34AA">
        <w:rPr>
          <w:bCs/>
          <w:sz w:val="24"/>
          <w:szCs w:val="24"/>
          <w:lang w:val="uk-UA"/>
        </w:rPr>
        <w:t>.</w:t>
      </w:r>
      <w:r w:rsidR="007645CD" w:rsidRPr="00A91309">
        <w:rPr>
          <w:bCs/>
          <w:sz w:val="24"/>
          <w:szCs w:val="24"/>
          <w:lang w:val="uk-UA"/>
        </w:rPr>
        <w:t xml:space="preserve"> </w:t>
      </w:r>
      <w:r w:rsidR="005E34AA">
        <w:rPr>
          <w:bCs/>
          <w:sz w:val="24"/>
          <w:szCs w:val="24"/>
          <w:lang w:val="uk-UA"/>
        </w:rPr>
        <w:t>*</w:t>
      </w:r>
    </w:p>
    <w:p w:rsidR="001F1AF8" w:rsidRPr="001F1AF8" w:rsidRDefault="001F1AF8" w:rsidP="001F1AF8">
      <w:pPr>
        <w:tabs>
          <w:tab w:val="left" w:pos="567"/>
        </w:tabs>
        <w:rPr>
          <w:bCs/>
          <w:i/>
          <w:sz w:val="24"/>
          <w:szCs w:val="24"/>
          <w:lang w:val="uk-UA"/>
        </w:rPr>
      </w:pPr>
      <w:r w:rsidRPr="001F1AF8">
        <w:rPr>
          <w:bCs/>
          <w:i/>
          <w:sz w:val="24"/>
          <w:szCs w:val="24"/>
          <w:lang w:val="uk-UA"/>
        </w:rPr>
        <w:t>*</w:t>
      </w:r>
      <w:r w:rsidRPr="001F1AF8">
        <w:rPr>
          <w:bCs/>
          <w:i/>
          <w:sz w:val="24"/>
          <w:szCs w:val="24"/>
          <w:lang w:val="uk-UA"/>
        </w:rPr>
        <w:tab/>
        <w:t xml:space="preserve">Сума дефіциту/профіциту загального та спеціального фондів бюджету буде уточнена після розгляду на засіданні </w:t>
      </w:r>
      <w:r w:rsidR="005E34AA" w:rsidRPr="005E34AA">
        <w:rPr>
          <w:bCs/>
          <w:i/>
          <w:sz w:val="24"/>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EC7344">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міського бюджету 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5E34AA">
        <w:rPr>
          <w:sz w:val="24"/>
          <w:szCs w:val="24"/>
          <w:lang w:val="uk-UA"/>
        </w:rPr>
        <w:t>дниками бюджетних коштів на 2021</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537916" w:rsidRDefault="00413E35" w:rsidP="001A4139">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згідно з додатком 7 до цього рішення.</w:t>
      </w:r>
    </w:p>
    <w:p w:rsidR="0056338B" w:rsidRDefault="0051483D" w:rsidP="0056338B">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E0700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E07002" w:rsidRPr="00E07002">
        <w:rPr>
          <w:color w:val="000000"/>
          <w:spacing w:val="-4"/>
          <w:sz w:val="24"/>
          <w:szCs w:val="24"/>
          <w:lang w:val="uk-UA"/>
        </w:rPr>
        <w:t>.</w:t>
      </w:r>
    </w:p>
    <w:p w:rsidR="00ED3206" w:rsidRDefault="00ED3206" w:rsidP="007645CD">
      <w:pPr>
        <w:ind w:firstLine="0"/>
        <w:rPr>
          <w:sz w:val="24"/>
          <w:lang w:val="uk-UA"/>
        </w:rPr>
      </w:pPr>
    </w:p>
    <w:p w:rsidR="00F94238" w:rsidRDefault="00F94238" w:rsidP="007645CD">
      <w:pPr>
        <w:ind w:firstLine="0"/>
        <w:rPr>
          <w:sz w:val="24"/>
          <w:lang w:val="uk-UA"/>
        </w:rPr>
      </w:pPr>
    </w:p>
    <w:p w:rsidR="00F94238" w:rsidRDefault="00F9423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r w:rsidRPr="00505465">
        <w:rPr>
          <w:sz w:val="18"/>
          <w:lang w:val="uk-UA"/>
        </w:rPr>
        <w:t>Гончарова</w:t>
      </w:r>
      <w:r w:rsidR="00E07002">
        <w:rPr>
          <w:sz w:val="18"/>
          <w:lang w:val="uk-UA"/>
        </w:rPr>
        <w:t xml:space="preserve"> Т.О.</w:t>
      </w:r>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E01298" w:rsidRPr="005C4465" w:rsidRDefault="00E01298" w:rsidP="00E01298">
      <w:pPr>
        <w:spacing w:after="0"/>
        <w:ind w:firstLine="0"/>
        <w:rPr>
          <w:sz w:val="24"/>
          <w:szCs w:val="24"/>
          <w:lang w:val="uk-UA"/>
        </w:rPr>
      </w:pPr>
      <w:r w:rsidRPr="005C4465">
        <w:rPr>
          <w:sz w:val="24"/>
          <w:szCs w:val="24"/>
          <w:lang w:val="uk-UA"/>
        </w:rPr>
        <w:lastRenderedPageBreak/>
        <w:t>Погоджено:</w:t>
      </w:r>
    </w:p>
    <w:p w:rsidR="00E01298" w:rsidRPr="005C4465" w:rsidRDefault="00E01298" w:rsidP="00E01298">
      <w:pPr>
        <w:spacing w:after="0"/>
        <w:ind w:firstLine="0"/>
        <w:jc w:val="left"/>
        <w:rPr>
          <w:sz w:val="24"/>
          <w:szCs w:val="24"/>
          <w:lang w:val="uk-UA"/>
        </w:rPr>
      </w:pPr>
      <w:r w:rsidRPr="005C4465">
        <w:rPr>
          <w:sz w:val="24"/>
          <w:szCs w:val="24"/>
          <w:lang w:val="uk-UA"/>
        </w:rPr>
        <w:t xml:space="preserve">на засіданні постійної комісії міської ради </w:t>
      </w:r>
    </w:p>
    <w:p w:rsidR="00272CF3" w:rsidRDefault="00272CF3" w:rsidP="00E01298">
      <w:pPr>
        <w:tabs>
          <w:tab w:val="left" w:pos="7380"/>
        </w:tabs>
        <w:spacing w:after="0"/>
        <w:ind w:firstLine="0"/>
        <w:jc w:val="left"/>
        <w:rPr>
          <w:sz w:val="24"/>
          <w:szCs w:val="24"/>
          <w:lang w:val="uk-UA"/>
        </w:rPr>
      </w:pPr>
      <w:r w:rsidRPr="00272CF3">
        <w:rPr>
          <w:sz w:val="24"/>
          <w:szCs w:val="24"/>
          <w:lang w:val="uk-UA"/>
        </w:rPr>
        <w:t xml:space="preserve">з питань планування соціально-економічного розвитку, </w:t>
      </w:r>
    </w:p>
    <w:p w:rsidR="00272CF3" w:rsidRDefault="00272CF3" w:rsidP="00E01298">
      <w:pPr>
        <w:tabs>
          <w:tab w:val="left" w:pos="7380"/>
        </w:tabs>
        <w:spacing w:after="0"/>
        <w:ind w:firstLine="0"/>
        <w:jc w:val="left"/>
        <w:rPr>
          <w:sz w:val="24"/>
          <w:szCs w:val="24"/>
          <w:lang w:val="uk-UA"/>
        </w:rPr>
      </w:pPr>
      <w:r w:rsidRPr="00272CF3">
        <w:rPr>
          <w:sz w:val="24"/>
          <w:szCs w:val="24"/>
          <w:lang w:val="uk-UA"/>
        </w:rPr>
        <w:t xml:space="preserve">бюджету та фінансів, інвестицій, регуляторної політики, </w:t>
      </w:r>
    </w:p>
    <w:p w:rsidR="00E01298" w:rsidRPr="005C4465" w:rsidRDefault="00272CF3" w:rsidP="00E01298">
      <w:pPr>
        <w:tabs>
          <w:tab w:val="left" w:pos="7380"/>
        </w:tabs>
        <w:spacing w:after="0"/>
        <w:ind w:firstLine="0"/>
        <w:jc w:val="left"/>
        <w:rPr>
          <w:sz w:val="24"/>
          <w:szCs w:val="24"/>
          <w:lang w:val="uk-UA"/>
        </w:rPr>
      </w:pPr>
      <w:r w:rsidRPr="00272CF3">
        <w:rPr>
          <w:sz w:val="24"/>
          <w:szCs w:val="24"/>
          <w:lang w:val="uk-UA"/>
        </w:rPr>
        <w:t>торгівлі, по</w:t>
      </w:r>
      <w:r>
        <w:rPr>
          <w:sz w:val="24"/>
          <w:szCs w:val="24"/>
          <w:lang w:val="uk-UA"/>
        </w:rPr>
        <w:t>слуг та розвитку підприємництва</w:t>
      </w:r>
    </w:p>
    <w:p w:rsidR="00272CF3" w:rsidRDefault="00272CF3" w:rsidP="00E01298">
      <w:pPr>
        <w:tabs>
          <w:tab w:val="left" w:pos="7380"/>
        </w:tabs>
        <w:overflowPunct w:val="0"/>
        <w:autoSpaceDE w:val="0"/>
        <w:autoSpaceDN w:val="0"/>
        <w:adjustRightInd w:val="0"/>
        <w:spacing w:after="0"/>
        <w:ind w:firstLine="0"/>
        <w:jc w:val="left"/>
        <w:textAlignment w:val="baseline"/>
        <w:rPr>
          <w:sz w:val="24"/>
          <w:szCs w:val="24"/>
          <w:lang w:val="uk-UA"/>
        </w:rPr>
      </w:pPr>
    </w:p>
    <w:p w:rsidR="00E01298" w:rsidRPr="007645CD" w:rsidRDefault="00E01298" w:rsidP="00E01298">
      <w:pPr>
        <w:tabs>
          <w:tab w:val="left" w:pos="7380"/>
        </w:tabs>
        <w:overflowPunct w:val="0"/>
        <w:autoSpaceDE w:val="0"/>
        <w:autoSpaceDN w:val="0"/>
        <w:adjustRightInd w:val="0"/>
        <w:spacing w:after="0"/>
        <w:ind w:firstLine="0"/>
        <w:jc w:val="left"/>
        <w:textAlignment w:val="baseline"/>
        <w:rPr>
          <w:sz w:val="24"/>
          <w:szCs w:val="24"/>
          <w:lang w:val="uk-UA"/>
        </w:rPr>
      </w:pPr>
      <w:r w:rsidRPr="007645CD">
        <w:rPr>
          <w:sz w:val="24"/>
          <w:szCs w:val="24"/>
          <w:lang w:val="uk-UA"/>
        </w:rPr>
        <w:t xml:space="preserve">Голова комісії         _________________ </w:t>
      </w:r>
      <w:r w:rsidR="00E07002">
        <w:rPr>
          <w:sz w:val="24"/>
          <w:szCs w:val="24"/>
          <w:lang w:val="uk-UA"/>
        </w:rPr>
        <w:t>О.С.Миронюк</w:t>
      </w:r>
    </w:p>
    <w:p w:rsidR="00E01298" w:rsidRPr="007645CD" w:rsidRDefault="00E01298" w:rsidP="00E01298">
      <w:pPr>
        <w:tabs>
          <w:tab w:val="left" w:pos="7380"/>
        </w:tabs>
        <w:overflowPunct w:val="0"/>
        <w:autoSpaceDE w:val="0"/>
        <w:autoSpaceDN w:val="0"/>
        <w:adjustRightInd w:val="0"/>
        <w:spacing w:after="0"/>
        <w:ind w:firstLine="0"/>
        <w:jc w:val="left"/>
        <w:textAlignment w:val="baseline"/>
        <w:rPr>
          <w:sz w:val="24"/>
          <w:szCs w:val="24"/>
          <w:lang w:val="uk-UA"/>
        </w:rPr>
      </w:pPr>
    </w:p>
    <w:p w:rsidR="00E01298" w:rsidRPr="007645CD" w:rsidRDefault="00E01298" w:rsidP="00E01298">
      <w:pPr>
        <w:overflowPunct w:val="0"/>
        <w:autoSpaceDE w:val="0"/>
        <w:autoSpaceDN w:val="0"/>
        <w:adjustRightInd w:val="0"/>
        <w:spacing w:after="0"/>
        <w:ind w:firstLine="0"/>
        <w:textAlignment w:val="baseline"/>
        <w:rPr>
          <w:sz w:val="24"/>
          <w:szCs w:val="24"/>
          <w:lang w:val="uk-UA"/>
        </w:rPr>
      </w:pPr>
      <w:r w:rsidRPr="007645CD">
        <w:rPr>
          <w:rFonts w:ascii="Times New Roman CYR" w:hAnsi="Times New Roman CYR" w:cs="Times New Roman CYR"/>
          <w:sz w:val="24"/>
          <w:szCs w:val="24"/>
          <w:lang w:val="uk-UA"/>
        </w:rPr>
        <w:t>Прот</w:t>
      </w:r>
      <w:r w:rsidR="00E07002">
        <w:rPr>
          <w:rFonts w:ascii="Times New Roman CYR" w:hAnsi="Times New Roman CYR" w:cs="Times New Roman CYR"/>
          <w:sz w:val="24"/>
          <w:szCs w:val="24"/>
          <w:lang w:val="uk-UA"/>
        </w:rPr>
        <w:t>окол від «______»__________ 2021</w:t>
      </w:r>
      <w:r w:rsidRPr="007645CD">
        <w:rPr>
          <w:rFonts w:ascii="Times New Roman CYR" w:hAnsi="Times New Roman CYR" w:cs="Times New Roman CYR"/>
          <w:sz w:val="24"/>
          <w:szCs w:val="24"/>
          <w:lang w:val="uk-UA"/>
        </w:rPr>
        <w:t xml:space="preserve">  № ______</w:t>
      </w:r>
    </w:p>
    <w:p w:rsidR="00E01298" w:rsidRPr="007645CD" w:rsidRDefault="00E01298" w:rsidP="00E01298">
      <w:pPr>
        <w:overflowPunct w:val="0"/>
        <w:autoSpaceDE w:val="0"/>
        <w:autoSpaceDN w:val="0"/>
        <w:adjustRightInd w:val="0"/>
        <w:spacing w:after="0"/>
        <w:ind w:firstLine="0"/>
        <w:jc w:val="left"/>
        <w:textAlignment w:val="baseline"/>
        <w:rPr>
          <w:sz w:val="24"/>
          <w:szCs w:val="24"/>
          <w:lang w:val="uk-UA"/>
        </w:rPr>
      </w:pPr>
    </w:p>
    <w:p w:rsidR="00721349" w:rsidRDefault="00721349" w:rsidP="00721349">
      <w:pPr>
        <w:shd w:val="clear" w:color="auto" w:fill="FFFFFF"/>
        <w:overflowPunct w:val="0"/>
        <w:autoSpaceDE w:val="0"/>
        <w:autoSpaceDN w:val="0"/>
        <w:adjustRightInd w:val="0"/>
        <w:spacing w:after="0"/>
        <w:ind w:firstLine="0"/>
        <w:textAlignment w:val="baseline"/>
        <w:rPr>
          <w:color w:val="000000"/>
          <w:spacing w:val="-4"/>
          <w:sz w:val="24"/>
          <w:szCs w:val="24"/>
          <w:lang w:val="uk-UA"/>
        </w:rPr>
      </w:pPr>
    </w:p>
    <w:p w:rsidR="00721349" w:rsidRPr="00721349" w:rsidRDefault="00721349" w:rsidP="00721349">
      <w:pPr>
        <w:shd w:val="clear" w:color="auto" w:fill="FFFFFF"/>
        <w:overflowPunct w:val="0"/>
        <w:autoSpaceDE w:val="0"/>
        <w:autoSpaceDN w:val="0"/>
        <w:adjustRightInd w:val="0"/>
        <w:spacing w:after="0"/>
        <w:ind w:firstLine="0"/>
        <w:textAlignment w:val="baseline"/>
        <w:rPr>
          <w:color w:val="000000"/>
          <w:spacing w:val="-4"/>
          <w:sz w:val="24"/>
          <w:szCs w:val="24"/>
          <w:lang w:val="uk-UA"/>
        </w:rPr>
      </w:pPr>
      <w:r w:rsidRPr="00721349">
        <w:rPr>
          <w:color w:val="000000"/>
          <w:spacing w:val="-4"/>
          <w:sz w:val="24"/>
          <w:szCs w:val="24"/>
          <w:lang w:val="uk-UA"/>
        </w:rPr>
        <w:t xml:space="preserve">Секретар міської ради                                            </w:t>
      </w:r>
      <w:r w:rsidR="00E07002">
        <w:rPr>
          <w:color w:val="000000"/>
          <w:spacing w:val="-4"/>
          <w:sz w:val="24"/>
          <w:szCs w:val="24"/>
          <w:lang w:val="uk-UA"/>
        </w:rPr>
        <w:t>__________________</w:t>
      </w:r>
      <w:r w:rsidRPr="00721349">
        <w:rPr>
          <w:color w:val="000000"/>
          <w:spacing w:val="-4"/>
          <w:sz w:val="24"/>
          <w:szCs w:val="24"/>
          <w:lang w:val="uk-UA"/>
        </w:rPr>
        <w:t xml:space="preserve"> </w:t>
      </w:r>
      <w:r w:rsidR="00E07002">
        <w:rPr>
          <w:color w:val="000000"/>
          <w:spacing w:val="-4"/>
          <w:sz w:val="24"/>
          <w:szCs w:val="24"/>
          <w:lang w:val="uk-UA"/>
        </w:rPr>
        <w:t>М.О. Пелюх</w:t>
      </w:r>
    </w:p>
    <w:p w:rsidR="00721349" w:rsidRDefault="00721349" w:rsidP="00E01298">
      <w:pPr>
        <w:shd w:val="clear" w:color="auto" w:fill="FFFFFF"/>
        <w:overflowPunct w:val="0"/>
        <w:autoSpaceDE w:val="0"/>
        <w:autoSpaceDN w:val="0"/>
        <w:adjustRightInd w:val="0"/>
        <w:spacing w:after="0"/>
        <w:ind w:firstLine="0"/>
        <w:textAlignment w:val="baseline"/>
        <w:rPr>
          <w:color w:val="000000"/>
          <w:spacing w:val="-4"/>
          <w:sz w:val="24"/>
          <w:szCs w:val="24"/>
          <w:lang w:val="uk-UA"/>
        </w:rPr>
      </w:pPr>
    </w:p>
    <w:p w:rsidR="00E01298" w:rsidRPr="00587762" w:rsidRDefault="00E07002" w:rsidP="00E01298">
      <w:pPr>
        <w:shd w:val="clear" w:color="auto" w:fill="FFFFFF"/>
        <w:overflowPunct w:val="0"/>
        <w:autoSpaceDE w:val="0"/>
        <w:autoSpaceDN w:val="0"/>
        <w:adjustRightInd w:val="0"/>
        <w:spacing w:after="0"/>
        <w:ind w:firstLine="0"/>
        <w:textAlignment w:val="baseline"/>
        <w:rPr>
          <w:color w:val="000000"/>
          <w:spacing w:val="-4"/>
          <w:sz w:val="24"/>
          <w:szCs w:val="24"/>
          <w:lang w:val="uk-UA"/>
        </w:rPr>
      </w:pPr>
      <w:r>
        <w:rPr>
          <w:color w:val="000000"/>
          <w:spacing w:val="-4"/>
          <w:sz w:val="24"/>
          <w:szCs w:val="24"/>
          <w:lang w:val="uk-UA"/>
        </w:rPr>
        <w:t>З</w:t>
      </w:r>
      <w:r w:rsidR="00E01298" w:rsidRPr="00587762">
        <w:rPr>
          <w:color w:val="000000"/>
          <w:spacing w:val="-4"/>
          <w:sz w:val="24"/>
          <w:szCs w:val="24"/>
          <w:lang w:val="uk-UA"/>
        </w:rPr>
        <w:t xml:space="preserve">аступник міського голови з питань </w:t>
      </w:r>
    </w:p>
    <w:p w:rsidR="00E01298" w:rsidRPr="00587762" w:rsidRDefault="00E01298" w:rsidP="00E01298">
      <w:pPr>
        <w:shd w:val="clear" w:color="auto" w:fill="FFFFFF"/>
        <w:overflowPunct w:val="0"/>
        <w:autoSpaceDE w:val="0"/>
        <w:autoSpaceDN w:val="0"/>
        <w:adjustRightInd w:val="0"/>
        <w:spacing w:after="0"/>
        <w:ind w:firstLine="0"/>
        <w:textAlignment w:val="baseline"/>
        <w:rPr>
          <w:sz w:val="24"/>
          <w:szCs w:val="24"/>
          <w:lang w:val="uk-UA"/>
        </w:rPr>
      </w:pPr>
      <w:r w:rsidRPr="00587762">
        <w:rPr>
          <w:color w:val="000000"/>
          <w:spacing w:val="-4"/>
          <w:sz w:val="24"/>
          <w:szCs w:val="24"/>
          <w:lang w:val="uk-UA"/>
        </w:rPr>
        <w:t>діяльності виконавчих орг</w:t>
      </w:r>
      <w:r w:rsidR="00A61214">
        <w:rPr>
          <w:color w:val="000000"/>
          <w:spacing w:val="-4"/>
          <w:sz w:val="24"/>
          <w:szCs w:val="24"/>
          <w:lang w:val="uk-UA"/>
        </w:rPr>
        <w:t xml:space="preserve">анів ради                      </w:t>
      </w:r>
      <w:r w:rsidR="00E07002">
        <w:rPr>
          <w:color w:val="000000"/>
          <w:spacing w:val="-4"/>
          <w:sz w:val="24"/>
          <w:szCs w:val="24"/>
          <w:lang w:val="uk-UA"/>
        </w:rPr>
        <w:t>__________________Ю.М. Сіроух</w:t>
      </w:r>
    </w:p>
    <w:p w:rsidR="00E01298" w:rsidRPr="007645CD" w:rsidRDefault="00E01298" w:rsidP="00E01298">
      <w:pPr>
        <w:overflowPunct w:val="0"/>
        <w:autoSpaceDE w:val="0"/>
        <w:autoSpaceDN w:val="0"/>
        <w:adjustRightInd w:val="0"/>
        <w:spacing w:after="0"/>
        <w:ind w:firstLine="0"/>
        <w:jc w:val="left"/>
        <w:textAlignment w:val="baseline"/>
        <w:rPr>
          <w:sz w:val="24"/>
          <w:szCs w:val="24"/>
          <w:lang w:val="uk-UA"/>
        </w:rPr>
      </w:pPr>
    </w:p>
    <w:p w:rsidR="00E01298" w:rsidRPr="007645CD" w:rsidRDefault="00E07002" w:rsidP="00E01298">
      <w:pPr>
        <w:overflowPunct w:val="0"/>
        <w:autoSpaceDE w:val="0"/>
        <w:autoSpaceDN w:val="0"/>
        <w:adjustRightInd w:val="0"/>
        <w:spacing w:after="0"/>
        <w:ind w:left="5103" w:hanging="5103"/>
        <w:jc w:val="left"/>
        <w:textAlignment w:val="baseline"/>
        <w:rPr>
          <w:sz w:val="24"/>
          <w:szCs w:val="24"/>
          <w:lang w:val="uk-UA"/>
        </w:rPr>
      </w:pPr>
      <w:r>
        <w:rPr>
          <w:sz w:val="24"/>
          <w:szCs w:val="24"/>
          <w:lang w:val="uk-UA"/>
        </w:rPr>
        <w:t>Н</w:t>
      </w:r>
      <w:r w:rsidR="00073F47">
        <w:rPr>
          <w:sz w:val="24"/>
          <w:szCs w:val="24"/>
          <w:lang w:val="uk-UA"/>
        </w:rPr>
        <w:t xml:space="preserve">ачальник </w:t>
      </w:r>
      <w:r>
        <w:rPr>
          <w:sz w:val="24"/>
          <w:szCs w:val="24"/>
          <w:lang w:val="uk-UA"/>
        </w:rPr>
        <w:t xml:space="preserve">відділу правової роботи                  </w:t>
      </w:r>
      <w:r w:rsidR="00E01298" w:rsidRPr="007645CD">
        <w:rPr>
          <w:sz w:val="24"/>
          <w:szCs w:val="24"/>
          <w:lang w:val="uk-UA"/>
        </w:rPr>
        <w:t xml:space="preserve">_________________  </w:t>
      </w:r>
      <w:r w:rsidR="001A4139">
        <w:rPr>
          <w:sz w:val="24"/>
          <w:szCs w:val="24"/>
          <w:lang w:val="uk-UA"/>
        </w:rPr>
        <w:t>С.О. Миськів</w:t>
      </w:r>
    </w:p>
    <w:p w:rsidR="00E01298" w:rsidRPr="007645CD" w:rsidRDefault="00E01298" w:rsidP="00E01298">
      <w:pPr>
        <w:overflowPunct w:val="0"/>
        <w:autoSpaceDE w:val="0"/>
        <w:autoSpaceDN w:val="0"/>
        <w:adjustRightInd w:val="0"/>
        <w:spacing w:after="0"/>
        <w:ind w:left="5103" w:hanging="5103"/>
        <w:jc w:val="left"/>
        <w:textAlignment w:val="baseline"/>
        <w:rPr>
          <w:sz w:val="24"/>
          <w:szCs w:val="24"/>
          <w:lang w:val="uk-UA"/>
        </w:rPr>
      </w:pPr>
    </w:p>
    <w:p w:rsidR="00E01298" w:rsidRPr="007645CD" w:rsidRDefault="00F94238" w:rsidP="00E01298">
      <w:pPr>
        <w:overflowPunct w:val="0"/>
        <w:autoSpaceDE w:val="0"/>
        <w:autoSpaceDN w:val="0"/>
        <w:adjustRightInd w:val="0"/>
        <w:spacing w:after="0"/>
        <w:ind w:left="5103" w:hanging="5103"/>
        <w:jc w:val="left"/>
        <w:textAlignment w:val="baseline"/>
        <w:rPr>
          <w:sz w:val="24"/>
          <w:szCs w:val="24"/>
          <w:lang w:val="uk-UA"/>
        </w:rPr>
      </w:pPr>
      <w:r>
        <w:rPr>
          <w:sz w:val="24"/>
          <w:szCs w:val="24"/>
          <w:lang w:val="uk-UA"/>
        </w:rPr>
        <w:t>Начальник</w:t>
      </w:r>
      <w:r w:rsidR="00073F47">
        <w:rPr>
          <w:sz w:val="24"/>
          <w:szCs w:val="24"/>
          <w:lang w:val="uk-UA"/>
        </w:rPr>
        <w:t xml:space="preserve"> </w:t>
      </w:r>
      <w:r w:rsidR="00E01298" w:rsidRPr="007645CD">
        <w:rPr>
          <w:sz w:val="24"/>
          <w:szCs w:val="24"/>
          <w:lang w:val="uk-UA"/>
        </w:rPr>
        <w:t xml:space="preserve"> відділу </w:t>
      </w:r>
    </w:p>
    <w:p w:rsidR="00E01298" w:rsidRPr="007645CD" w:rsidRDefault="00E01298" w:rsidP="00E01298">
      <w:pPr>
        <w:overflowPunct w:val="0"/>
        <w:autoSpaceDE w:val="0"/>
        <w:autoSpaceDN w:val="0"/>
        <w:adjustRightInd w:val="0"/>
        <w:spacing w:after="0"/>
        <w:ind w:left="5103" w:hanging="5103"/>
        <w:jc w:val="left"/>
        <w:textAlignment w:val="baseline"/>
        <w:rPr>
          <w:sz w:val="24"/>
          <w:szCs w:val="24"/>
          <w:lang w:val="uk-UA"/>
        </w:rPr>
      </w:pPr>
      <w:r w:rsidRPr="007645CD">
        <w:rPr>
          <w:sz w:val="24"/>
          <w:szCs w:val="24"/>
          <w:lang w:val="uk-UA"/>
        </w:rPr>
        <w:t>забезпечення депутатської діяльності              ____</w:t>
      </w:r>
      <w:r>
        <w:rPr>
          <w:sz w:val="24"/>
          <w:szCs w:val="24"/>
          <w:lang w:val="uk-UA"/>
        </w:rPr>
        <w:t>___</w:t>
      </w:r>
      <w:r w:rsidRPr="007645CD">
        <w:rPr>
          <w:sz w:val="24"/>
          <w:szCs w:val="24"/>
          <w:lang w:val="uk-UA"/>
        </w:rPr>
        <w:t>__</w:t>
      </w:r>
      <w:r w:rsidRPr="007645CD">
        <w:rPr>
          <w:sz w:val="24"/>
          <w:szCs w:val="24"/>
          <w:lang w:val="uk-UA"/>
        </w:rPr>
        <w:softHyphen/>
      </w:r>
      <w:r w:rsidRPr="007645CD">
        <w:rPr>
          <w:sz w:val="24"/>
          <w:szCs w:val="24"/>
          <w:lang w:val="uk-UA"/>
        </w:rPr>
        <w:softHyphen/>
        <w:t>_________</w:t>
      </w:r>
      <w:r w:rsidRPr="007645CD">
        <w:rPr>
          <w:sz w:val="26"/>
          <w:lang w:val="uk-UA"/>
        </w:rPr>
        <w:t xml:space="preserve"> </w:t>
      </w:r>
      <w:r w:rsidR="00F94238">
        <w:rPr>
          <w:sz w:val="24"/>
          <w:szCs w:val="24"/>
          <w:lang w:val="uk-UA"/>
        </w:rPr>
        <w:t>С.М.Усата</w:t>
      </w:r>
      <w:r w:rsidRPr="007645CD">
        <w:rPr>
          <w:sz w:val="24"/>
          <w:szCs w:val="24"/>
          <w:lang w:val="uk-UA"/>
        </w:rPr>
        <w:t xml:space="preserve"> </w:t>
      </w:r>
    </w:p>
    <w:p w:rsidR="00E01298" w:rsidRDefault="00E01298" w:rsidP="00E01298">
      <w:pPr>
        <w:spacing w:after="0"/>
        <w:ind w:firstLine="0"/>
        <w:jc w:val="left"/>
        <w:rPr>
          <w:lang w:val="uk-UA"/>
        </w:rPr>
      </w:pPr>
    </w:p>
    <w:tbl>
      <w:tblPr>
        <w:tblW w:w="11140" w:type="dxa"/>
        <w:tblLayout w:type="fixed"/>
        <w:tblLook w:val="0000" w:firstRow="0" w:lastRow="0" w:firstColumn="0" w:lastColumn="0" w:noHBand="0" w:noVBand="0"/>
      </w:tblPr>
      <w:tblGrid>
        <w:gridCol w:w="468"/>
        <w:gridCol w:w="3600"/>
        <w:gridCol w:w="720"/>
        <w:gridCol w:w="565"/>
        <w:gridCol w:w="5787"/>
      </w:tblGrid>
      <w:tr w:rsidR="00E01298" w:rsidRPr="005C4465" w:rsidTr="00963B61">
        <w:tblPrEx>
          <w:tblCellMar>
            <w:top w:w="0" w:type="dxa"/>
            <w:bottom w:w="0" w:type="dxa"/>
          </w:tblCellMar>
        </w:tblPrEx>
        <w:trPr>
          <w:cantSplit/>
          <w:trHeight w:val="848"/>
        </w:trPr>
        <w:tc>
          <w:tcPr>
            <w:tcW w:w="468"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 з/п</w:t>
            </w:r>
          </w:p>
        </w:tc>
        <w:tc>
          <w:tcPr>
            <w:tcW w:w="3600"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Розсилка</w:t>
            </w:r>
          </w:p>
        </w:tc>
        <w:tc>
          <w:tcPr>
            <w:tcW w:w="720" w:type="dxa"/>
            <w:tcBorders>
              <w:top w:val="nil"/>
              <w:left w:val="nil"/>
              <w:bottom w:val="nil"/>
              <w:right w:val="nil"/>
            </w:tcBorders>
          </w:tcPr>
          <w:p w:rsidR="00E01298" w:rsidRPr="005C4465" w:rsidRDefault="00E01298" w:rsidP="00963B61">
            <w:pPr>
              <w:overflowPunct w:val="0"/>
              <w:adjustRightInd w:val="0"/>
              <w:spacing w:after="0"/>
              <w:ind w:left="-100" w:firstLine="0"/>
              <w:jc w:val="left"/>
              <w:rPr>
                <w:lang w:val="uk-UA"/>
              </w:rPr>
            </w:pPr>
          </w:p>
          <w:p w:rsidR="00E01298" w:rsidRPr="005C4465" w:rsidRDefault="00E01298" w:rsidP="00963B61">
            <w:pPr>
              <w:overflowPunct w:val="0"/>
              <w:adjustRightInd w:val="0"/>
              <w:spacing w:after="0"/>
              <w:ind w:left="-100" w:firstLine="0"/>
              <w:jc w:val="left"/>
              <w:rPr>
                <w:lang w:val="uk-UA"/>
              </w:rPr>
            </w:pPr>
          </w:p>
          <w:p w:rsidR="00E01298" w:rsidRPr="005C4465" w:rsidRDefault="00E01298" w:rsidP="00963B61">
            <w:pPr>
              <w:overflowPunct w:val="0"/>
              <w:adjustRightInd w:val="0"/>
              <w:spacing w:after="0"/>
              <w:ind w:left="-100" w:firstLine="0"/>
              <w:jc w:val="left"/>
              <w:rPr>
                <w:lang w:val="uk-UA"/>
              </w:rPr>
            </w:pPr>
            <w:r w:rsidRPr="005C4465">
              <w:rPr>
                <w:lang w:val="uk-UA"/>
              </w:rPr>
              <w:t>Прим.</w:t>
            </w:r>
          </w:p>
        </w:tc>
        <w:tc>
          <w:tcPr>
            <w:tcW w:w="565"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Додатки</w:t>
            </w:r>
          </w:p>
        </w:tc>
        <w:tc>
          <w:tcPr>
            <w:tcW w:w="5787"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Назва додатків</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 xml:space="preserve">Справа   </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1-7</w:t>
            </w: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1. Доходи бюдж</w:t>
            </w:r>
            <w:r w:rsidR="001A4139">
              <w:rPr>
                <w:lang w:val="uk-UA"/>
              </w:rPr>
              <w:t>ету міста Южноукраїнська на 2021</w:t>
            </w:r>
            <w:r w:rsidRPr="005C4465">
              <w:rPr>
                <w:lang w:val="uk-UA"/>
              </w:rPr>
              <w:t xml:space="preserve"> рік</w:t>
            </w:r>
          </w:p>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2. Фінансування бюд</w:t>
            </w:r>
            <w:r>
              <w:rPr>
                <w:lang w:val="uk-UA"/>
              </w:rPr>
              <w:t>жету міста Южноукраїнськ на 202</w:t>
            </w:r>
            <w:r w:rsidR="001A4139">
              <w:rPr>
                <w:lang w:val="uk-UA"/>
              </w:rPr>
              <w:t>1</w:t>
            </w:r>
            <w:r w:rsidRPr="005C4465">
              <w:rPr>
                <w:lang w:val="uk-UA"/>
              </w:rPr>
              <w:t xml:space="preserve"> рік</w:t>
            </w:r>
          </w:p>
          <w:p w:rsidR="00E01298" w:rsidRPr="005C4465" w:rsidRDefault="00E01298" w:rsidP="001A4139">
            <w:pPr>
              <w:overflowPunct w:val="0"/>
              <w:autoSpaceDE w:val="0"/>
              <w:autoSpaceDN w:val="0"/>
              <w:adjustRightInd w:val="0"/>
              <w:spacing w:after="0"/>
              <w:ind w:firstLine="0"/>
              <w:jc w:val="left"/>
              <w:rPr>
                <w:lang w:val="uk-UA"/>
              </w:rPr>
            </w:pPr>
            <w:r w:rsidRPr="005C4465">
              <w:rPr>
                <w:lang w:val="uk-UA"/>
              </w:rPr>
              <w:t>3. Розподіл видатків бюдж</w:t>
            </w:r>
            <w:r>
              <w:rPr>
                <w:lang w:val="uk-UA"/>
              </w:rPr>
              <w:t>ету міста Южноукраїнськ  на 202</w:t>
            </w:r>
            <w:r w:rsidR="001A4139">
              <w:rPr>
                <w:lang w:val="uk-UA"/>
              </w:rPr>
              <w:t>1</w:t>
            </w:r>
            <w:r w:rsidRPr="005C4465">
              <w:rPr>
                <w:lang w:val="uk-UA"/>
              </w:rPr>
              <w:t xml:space="preserve"> рік  </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2</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Управління економічного розвитку</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1-7</w:t>
            </w:r>
          </w:p>
        </w:tc>
        <w:tc>
          <w:tcPr>
            <w:tcW w:w="5787" w:type="dxa"/>
            <w:tcBorders>
              <w:top w:val="nil"/>
              <w:left w:val="nil"/>
              <w:bottom w:val="nil"/>
              <w:right w:val="nil"/>
            </w:tcBorders>
          </w:tcPr>
          <w:p w:rsidR="00E01298" w:rsidRPr="005C4465" w:rsidRDefault="00E01298" w:rsidP="001A4139">
            <w:pPr>
              <w:spacing w:after="0"/>
              <w:ind w:firstLine="0"/>
              <w:jc w:val="left"/>
              <w:rPr>
                <w:lang w:val="uk-UA" w:eastAsia="uk-UA"/>
              </w:rPr>
            </w:pPr>
            <w:r w:rsidRPr="005C4465">
              <w:rPr>
                <w:lang w:val="uk-UA" w:eastAsia="uk-UA"/>
              </w:rPr>
              <w:t>3.1. Обсяги додаткових асигнувань та перерозподіл бюджетних призначень за головними розпоряд</w:t>
            </w:r>
            <w:r>
              <w:rPr>
                <w:lang w:val="uk-UA" w:eastAsia="uk-UA"/>
              </w:rPr>
              <w:t>никами бюджетних коштів  на 202</w:t>
            </w:r>
            <w:r w:rsidR="001A4139">
              <w:rPr>
                <w:lang w:val="uk-UA" w:eastAsia="uk-UA"/>
              </w:rPr>
              <w:t>1</w:t>
            </w:r>
            <w:r w:rsidRPr="005C4465">
              <w:rPr>
                <w:lang w:val="uk-UA" w:eastAsia="uk-UA"/>
              </w:rPr>
              <w:t xml:space="preserve"> рік  </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3-4</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Фінансове управління</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2</w:t>
            </w:r>
          </w:p>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1-7</w:t>
            </w:r>
          </w:p>
        </w:tc>
        <w:tc>
          <w:tcPr>
            <w:tcW w:w="5787" w:type="dxa"/>
            <w:tcBorders>
              <w:top w:val="nil"/>
              <w:left w:val="nil"/>
              <w:bottom w:val="nil"/>
              <w:right w:val="nil"/>
            </w:tcBorders>
          </w:tcPr>
          <w:p w:rsidR="00E01298" w:rsidRPr="005C4465" w:rsidRDefault="00E01298" w:rsidP="001A4139">
            <w:pPr>
              <w:overflowPunct w:val="0"/>
              <w:autoSpaceDE w:val="0"/>
              <w:autoSpaceDN w:val="0"/>
              <w:adjustRightInd w:val="0"/>
              <w:spacing w:after="0"/>
              <w:ind w:firstLine="0"/>
              <w:jc w:val="left"/>
              <w:rPr>
                <w:lang w:val="uk-UA"/>
              </w:rPr>
            </w:pPr>
            <w:r w:rsidRPr="005C4465">
              <w:rPr>
                <w:lang w:val="uk-UA"/>
              </w:rPr>
              <w:t>4. Перелік об’єктів т</w:t>
            </w:r>
            <w:r>
              <w:rPr>
                <w:lang w:val="uk-UA"/>
              </w:rPr>
              <w:t>а заходів, видатки на які у 202</w:t>
            </w:r>
            <w:r w:rsidR="001A4139">
              <w:rPr>
                <w:lang w:val="uk-UA"/>
              </w:rPr>
              <w:t>1</w:t>
            </w:r>
            <w:r w:rsidRPr="005C4465">
              <w:rPr>
                <w:lang w:val="uk-UA"/>
              </w:rPr>
              <w:t xml:space="preserve"> році будуть проводитися за рахунок коштів міського цільового фонду охорони навколишнього природнього середовища</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5</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Управління державної казначейської служби України у м. Южноукраїнську</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1-7</w:t>
            </w: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5. Міжбюджетні трансферти з міського</w:t>
            </w:r>
            <w:r w:rsidR="001A4139">
              <w:rPr>
                <w:lang w:val="uk-UA"/>
              </w:rPr>
              <w:t xml:space="preserve"> бюджету іншим бюджетам  на 2021</w:t>
            </w:r>
            <w:r w:rsidRPr="005C4465">
              <w:rPr>
                <w:lang w:val="uk-UA"/>
              </w:rPr>
              <w:t xml:space="preserve"> рік.</w:t>
            </w:r>
          </w:p>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 xml:space="preserve">6.Розподіл видатків </w:t>
            </w:r>
            <w:r w:rsidR="001A4139" w:rsidRPr="001A4139">
              <w:rPr>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1A4139">
              <w:rPr>
                <w:lang w:val="uk-UA"/>
              </w:rPr>
              <w:t>у 2021</w:t>
            </w:r>
            <w:r w:rsidRPr="005C4465">
              <w:rPr>
                <w:lang w:val="uk-UA"/>
              </w:rPr>
              <w:t xml:space="preserve"> році</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6</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713B2C">
              <w:rPr>
                <w:lang w:val="uk-UA"/>
              </w:rPr>
              <w:t>Управління з питань надзвичайних ситуацій та взаємодії з правоохоронними органами</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r w:rsidRPr="005C4465">
              <w:rPr>
                <w:lang w:val="uk-UA" w:eastAsia="uk-UA"/>
              </w:rPr>
              <w:t>7. Розподіл видатків місцевого бюджету на реалізацію місь</w:t>
            </w:r>
            <w:r w:rsidR="001A4139">
              <w:rPr>
                <w:lang w:val="uk-UA" w:eastAsia="uk-UA"/>
              </w:rPr>
              <w:t>ких/ регіональних програм у 2021</w:t>
            </w:r>
            <w:r w:rsidRPr="005C4465">
              <w:rPr>
                <w:lang w:val="uk-UA" w:eastAsia="uk-UA"/>
              </w:rPr>
              <w:t xml:space="preserve"> році</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7</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Прокуратура</w:t>
            </w:r>
          </w:p>
          <w:p w:rsidR="00E01298" w:rsidRPr="005C4465" w:rsidRDefault="00E01298"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r>
    </w:tbl>
    <w:p w:rsidR="00E01298" w:rsidRPr="005C4465" w:rsidRDefault="00E01298" w:rsidP="00E01298">
      <w:pPr>
        <w:overflowPunct w:val="0"/>
        <w:autoSpaceDE w:val="0"/>
        <w:autoSpaceDN w:val="0"/>
        <w:adjustRightInd w:val="0"/>
        <w:spacing w:after="0"/>
        <w:ind w:left="360" w:firstLine="0"/>
        <w:rPr>
          <w:sz w:val="17"/>
          <w:szCs w:val="17"/>
          <w:lang w:val="uk-UA"/>
        </w:rPr>
        <w:sectPr w:rsidR="00E01298" w:rsidRPr="005C4465" w:rsidSect="00555692">
          <w:pgSz w:w="11906" w:h="16838"/>
          <w:pgMar w:top="1134" w:right="1826" w:bottom="567" w:left="567" w:header="709" w:footer="709" w:gutter="0"/>
          <w:cols w:space="708"/>
          <w:titlePg/>
          <w:docGrid w:linePitch="360"/>
        </w:sectPr>
      </w:pPr>
    </w:p>
    <w:p w:rsidR="001B1A61" w:rsidRPr="000370CC" w:rsidRDefault="001B1A61" w:rsidP="00B70A05">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FD" w:rsidRDefault="00C973FD">
      <w:r>
        <w:separator/>
      </w:r>
    </w:p>
  </w:endnote>
  <w:endnote w:type="continuationSeparator" w:id="0">
    <w:p w:rsidR="00C973FD" w:rsidRDefault="00C9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FD" w:rsidRDefault="00C973FD">
      <w:r>
        <w:separator/>
      </w:r>
    </w:p>
  </w:footnote>
  <w:footnote w:type="continuationSeparator" w:id="0">
    <w:p w:rsidR="00C973FD" w:rsidRDefault="00C9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272CF3">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3"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0"/>
  </w:num>
  <w:num w:numId="4">
    <w:abstractNumId w:val="16"/>
  </w:num>
  <w:num w:numId="5">
    <w:abstractNumId w:val="12"/>
  </w:num>
  <w:num w:numId="6">
    <w:abstractNumId w:val="13"/>
  </w:num>
  <w:num w:numId="7">
    <w:abstractNumId w:val="18"/>
  </w:num>
  <w:num w:numId="8">
    <w:abstractNumId w:val="5"/>
  </w:num>
  <w:num w:numId="9">
    <w:abstractNumId w:val="1"/>
  </w:num>
  <w:num w:numId="10">
    <w:abstractNumId w:val="14"/>
  </w:num>
  <w:num w:numId="11">
    <w:abstractNumId w:val="3"/>
  </w:num>
  <w:num w:numId="12">
    <w:abstractNumId w:val="11"/>
  </w:num>
  <w:num w:numId="13">
    <w:abstractNumId w:val="8"/>
  </w:num>
  <w:num w:numId="14">
    <w:abstractNumId w:val="10"/>
  </w:num>
  <w:num w:numId="15">
    <w:abstractNumId w:val="9"/>
  </w:num>
  <w:num w:numId="16">
    <w:abstractNumId w:val="6"/>
  </w:num>
  <w:num w:numId="17">
    <w:abstractNumId w:val="17"/>
  </w:num>
  <w:num w:numId="18">
    <w:abstractNumId w:val="2"/>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42A"/>
    <w:rsid w:val="00277526"/>
    <w:rsid w:val="002804DD"/>
    <w:rsid w:val="00280E27"/>
    <w:rsid w:val="00285DF2"/>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26B3"/>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90B"/>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7841"/>
    <w:rsid w:val="00A40113"/>
    <w:rsid w:val="00A40BEA"/>
    <w:rsid w:val="00A46DD2"/>
    <w:rsid w:val="00A50AD2"/>
    <w:rsid w:val="00A519E6"/>
    <w:rsid w:val="00A51C14"/>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3FD"/>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1C7"/>
    <w:rsid w:val="00E01298"/>
    <w:rsid w:val="00E02EA3"/>
    <w:rsid w:val="00E0394B"/>
    <w:rsid w:val="00E04ADF"/>
    <w:rsid w:val="00E05939"/>
    <w:rsid w:val="00E0621E"/>
    <w:rsid w:val="00E0659C"/>
    <w:rsid w:val="00E07002"/>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B725E"/>
    <w:rsid w:val="00EC0BFB"/>
    <w:rsid w:val="00EC1661"/>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CD4AC3-B099-4F68-93E0-E6DD450E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083">
      <w:marLeft w:val="0"/>
      <w:marRight w:val="0"/>
      <w:marTop w:val="0"/>
      <w:marBottom w:val="0"/>
      <w:divBdr>
        <w:top w:val="none" w:sz="0" w:space="0" w:color="auto"/>
        <w:left w:val="none" w:sz="0" w:space="0" w:color="auto"/>
        <w:bottom w:val="none" w:sz="0" w:space="0" w:color="auto"/>
        <w:right w:val="none" w:sz="0" w:space="0" w:color="auto"/>
      </w:divBdr>
    </w:div>
    <w:div w:id="312681084">
      <w:marLeft w:val="0"/>
      <w:marRight w:val="0"/>
      <w:marTop w:val="0"/>
      <w:marBottom w:val="0"/>
      <w:divBdr>
        <w:top w:val="none" w:sz="0" w:space="0" w:color="auto"/>
        <w:left w:val="none" w:sz="0" w:space="0" w:color="auto"/>
        <w:bottom w:val="none" w:sz="0" w:space="0" w:color="auto"/>
        <w:right w:val="none" w:sz="0" w:space="0" w:color="auto"/>
      </w:divBdr>
    </w:div>
    <w:div w:id="312681085">
      <w:marLeft w:val="0"/>
      <w:marRight w:val="0"/>
      <w:marTop w:val="0"/>
      <w:marBottom w:val="0"/>
      <w:divBdr>
        <w:top w:val="none" w:sz="0" w:space="0" w:color="auto"/>
        <w:left w:val="none" w:sz="0" w:space="0" w:color="auto"/>
        <w:bottom w:val="none" w:sz="0" w:space="0" w:color="auto"/>
        <w:right w:val="none" w:sz="0" w:space="0" w:color="auto"/>
      </w:divBdr>
    </w:div>
    <w:div w:id="312681086">
      <w:marLeft w:val="0"/>
      <w:marRight w:val="0"/>
      <w:marTop w:val="0"/>
      <w:marBottom w:val="0"/>
      <w:divBdr>
        <w:top w:val="none" w:sz="0" w:space="0" w:color="auto"/>
        <w:left w:val="none" w:sz="0" w:space="0" w:color="auto"/>
        <w:bottom w:val="none" w:sz="0" w:space="0" w:color="auto"/>
        <w:right w:val="none" w:sz="0" w:space="0" w:color="auto"/>
      </w:divBdr>
    </w:div>
    <w:div w:id="312681087">
      <w:marLeft w:val="0"/>
      <w:marRight w:val="0"/>
      <w:marTop w:val="0"/>
      <w:marBottom w:val="0"/>
      <w:divBdr>
        <w:top w:val="none" w:sz="0" w:space="0" w:color="auto"/>
        <w:left w:val="none" w:sz="0" w:space="0" w:color="auto"/>
        <w:bottom w:val="none" w:sz="0" w:space="0" w:color="auto"/>
        <w:right w:val="none" w:sz="0" w:space="0" w:color="auto"/>
      </w:divBdr>
    </w:div>
    <w:div w:id="312681088">
      <w:marLeft w:val="0"/>
      <w:marRight w:val="0"/>
      <w:marTop w:val="0"/>
      <w:marBottom w:val="0"/>
      <w:divBdr>
        <w:top w:val="none" w:sz="0" w:space="0" w:color="auto"/>
        <w:left w:val="none" w:sz="0" w:space="0" w:color="auto"/>
        <w:bottom w:val="none" w:sz="0" w:space="0" w:color="auto"/>
        <w:right w:val="none" w:sz="0" w:space="0" w:color="auto"/>
      </w:divBdr>
    </w:div>
    <w:div w:id="312681089">
      <w:marLeft w:val="0"/>
      <w:marRight w:val="0"/>
      <w:marTop w:val="0"/>
      <w:marBottom w:val="0"/>
      <w:divBdr>
        <w:top w:val="none" w:sz="0" w:space="0" w:color="auto"/>
        <w:left w:val="none" w:sz="0" w:space="0" w:color="auto"/>
        <w:bottom w:val="none" w:sz="0" w:space="0" w:color="auto"/>
        <w:right w:val="none" w:sz="0" w:space="0" w:color="auto"/>
      </w:divBdr>
    </w:div>
    <w:div w:id="312681090">
      <w:marLeft w:val="0"/>
      <w:marRight w:val="0"/>
      <w:marTop w:val="0"/>
      <w:marBottom w:val="0"/>
      <w:divBdr>
        <w:top w:val="none" w:sz="0" w:space="0" w:color="auto"/>
        <w:left w:val="none" w:sz="0" w:space="0" w:color="auto"/>
        <w:bottom w:val="none" w:sz="0" w:space="0" w:color="auto"/>
        <w:right w:val="none" w:sz="0" w:space="0" w:color="auto"/>
      </w:divBdr>
    </w:div>
    <w:div w:id="312681091">
      <w:marLeft w:val="0"/>
      <w:marRight w:val="0"/>
      <w:marTop w:val="0"/>
      <w:marBottom w:val="0"/>
      <w:divBdr>
        <w:top w:val="none" w:sz="0" w:space="0" w:color="auto"/>
        <w:left w:val="none" w:sz="0" w:space="0" w:color="auto"/>
        <w:bottom w:val="none" w:sz="0" w:space="0" w:color="auto"/>
        <w:right w:val="none" w:sz="0" w:space="0" w:color="auto"/>
      </w:divBdr>
    </w:div>
    <w:div w:id="312681092">
      <w:marLeft w:val="0"/>
      <w:marRight w:val="0"/>
      <w:marTop w:val="0"/>
      <w:marBottom w:val="0"/>
      <w:divBdr>
        <w:top w:val="none" w:sz="0" w:space="0" w:color="auto"/>
        <w:left w:val="none" w:sz="0" w:space="0" w:color="auto"/>
        <w:bottom w:val="none" w:sz="0" w:space="0" w:color="auto"/>
        <w:right w:val="none" w:sz="0" w:space="0" w:color="auto"/>
      </w:divBdr>
    </w:div>
    <w:div w:id="312681093">
      <w:marLeft w:val="0"/>
      <w:marRight w:val="0"/>
      <w:marTop w:val="0"/>
      <w:marBottom w:val="0"/>
      <w:divBdr>
        <w:top w:val="none" w:sz="0" w:space="0" w:color="auto"/>
        <w:left w:val="none" w:sz="0" w:space="0" w:color="auto"/>
        <w:bottom w:val="none" w:sz="0" w:space="0" w:color="auto"/>
        <w:right w:val="none" w:sz="0" w:space="0" w:color="auto"/>
      </w:divBdr>
    </w:div>
    <w:div w:id="312681094">
      <w:marLeft w:val="0"/>
      <w:marRight w:val="0"/>
      <w:marTop w:val="0"/>
      <w:marBottom w:val="0"/>
      <w:divBdr>
        <w:top w:val="none" w:sz="0" w:space="0" w:color="auto"/>
        <w:left w:val="none" w:sz="0" w:space="0" w:color="auto"/>
        <w:bottom w:val="none" w:sz="0" w:space="0" w:color="auto"/>
        <w:right w:val="none" w:sz="0" w:space="0" w:color="auto"/>
      </w:divBdr>
    </w:div>
    <w:div w:id="312681095">
      <w:marLeft w:val="0"/>
      <w:marRight w:val="0"/>
      <w:marTop w:val="0"/>
      <w:marBottom w:val="0"/>
      <w:divBdr>
        <w:top w:val="none" w:sz="0" w:space="0" w:color="auto"/>
        <w:left w:val="none" w:sz="0" w:space="0" w:color="auto"/>
        <w:bottom w:val="none" w:sz="0" w:space="0" w:color="auto"/>
        <w:right w:val="none" w:sz="0" w:space="0" w:color="auto"/>
      </w:divBdr>
    </w:div>
    <w:div w:id="312681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E77A-F598-42A9-9080-558C1B57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2021-02-03T13:41:00Z</cp:lastPrinted>
  <dcterms:created xsi:type="dcterms:W3CDTF">2021-02-15T08:32:00Z</dcterms:created>
  <dcterms:modified xsi:type="dcterms:W3CDTF">2021-02-15T08:32:00Z</dcterms:modified>
</cp:coreProperties>
</file>